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彭月明</w:t>
      </w:r>
      <w:r>
        <w:rPr>
          <w:rFonts w:hint="eastAsia"/>
          <w:sz w:val="15"/>
          <w:szCs w:val="15"/>
          <w:highlight w:val="none"/>
        </w:rPr>
        <w:t>，</w:t>
      </w:r>
      <w:r>
        <w:rPr>
          <w:rFonts w:hint="eastAsia"/>
          <w:sz w:val="15"/>
          <w:szCs w:val="15"/>
          <w:highlight w:val="none"/>
          <w:lang w:val="en-US" w:eastAsia="zh-CN"/>
        </w:rPr>
        <w:t>132336198005150930</w:t>
      </w:r>
      <w:r>
        <w:rPr>
          <w:rFonts w:hint="eastAsia"/>
          <w:sz w:val="15"/>
          <w:szCs w:val="15"/>
        </w:rPr>
        <w:t xml:space="preserve">  </w:t>
      </w:r>
      <w:r>
        <w:rPr>
          <w:rFonts w:hint="eastAsia"/>
          <w:sz w:val="15"/>
          <w:szCs w:val="15"/>
          <w:lang w:val="en-US" w:eastAsia="zh-CN"/>
        </w:rPr>
        <w:t>冀ANK242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