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阎晋虎</w:t>
      </w:r>
      <w:r>
        <w:rPr>
          <w:rFonts w:hint="eastAsia"/>
          <w:sz w:val="15"/>
          <w:szCs w:val="15"/>
          <w:highlight w:val="none"/>
        </w:rPr>
        <w:t>，</w:t>
      </w:r>
      <w:r>
        <w:rPr>
          <w:rFonts w:hint="eastAsia"/>
          <w:sz w:val="15"/>
          <w:szCs w:val="15"/>
          <w:highlight w:val="none"/>
          <w:lang w:val="en-US" w:eastAsia="zh-CN"/>
        </w:rPr>
        <w:t>132335197008012815</w:t>
      </w:r>
      <w:r>
        <w:rPr>
          <w:rFonts w:hint="eastAsia"/>
          <w:sz w:val="15"/>
          <w:szCs w:val="15"/>
        </w:rPr>
        <w:t xml:space="preserve">  </w:t>
      </w:r>
      <w:r>
        <w:rPr>
          <w:rFonts w:hint="eastAsia"/>
          <w:sz w:val="15"/>
          <w:szCs w:val="15"/>
          <w:lang w:val="en-US" w:eastAsia="zh-CN"/>
        </w:rPr>
        <w:t>冀A07411D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