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周伟卿</w:t>
      </w:r>
      <w:r>
        <w:rPr>
          <w:rFonts w:hint="eastAsia"/>
          <w:sz w:val="15"/>
          <w:szCs w:val="15"/>
          <w:highlight w:val="none"/>
        </w:rPr>
        <w:t>，</w:t>
      </w:r>
      <w:r>
        <w:rPr>
          <w:rFonts w:hint="eastAsia"/>
          <w:sz w:val="15"/>
          <w:szCs w:val="15"/>
          <w:highlight w:val="none"/>
          <w:lang w:val="en-US" w:eastAsia="zh-CN"/>
        </w:rPr>
        <w:t>132428198102250015</w:t>
      </w:r>
      <w:r>
        <w:rPr>
          <w:rFonts w:hint="eastAsia"/>
          <w:sz w:val="15"/>
          <w:szCs w:val="15"/>
        </w:rPr>
        <w:t xml:space="preserve">  </w:t>
      </w:r>
      <w:r>
        <w:rPr>
          <w:rFonts w:hint="eastAsia"/>
          <w:sz w:val="15"/>
          <w:szCs w:val="15"/>
          <w:lang w:val="en-US" w:eastAsia="zh-CN"/>
        </w:rPr>
        <w:t>冀FR5181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