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赵军永</w:t>
      </w:r>
      <w:r>
        <w:rPr>
          <w:rFonts w:hint="eastAsia"/>
          <w:sz w:val="15"/>
          <w:szCs w:val="15"/>
          <w:highlight w:val="none"/>
        </w:rPr>
        <w:t>，</w:t>
      </w:r>
      <w:r>
        <w:rPr>
          <w:rFonts w:hint="eastAsia"/>
          <w:sz w:val="15"/>
          <w:szCs w:val="15"/>
          <w:highlight w:val="none"/>
          <w:lang w:val="en-US" w:eastAsia="zh-CN"/>
        </w:rPr>
        <w:t>132329197509161416</w:t>
      </w:r>
      <w:r>
        <w:rPr>
          <w:rFonts w:hint="eastAsia"/>
          <w:sz w:val="15"/>
          <w:szCs w:val="15"/>
        </w:rPr>
        <w:t xml:space="preserve">  </w:t>
      </w:r>
      <w:r>
        <w:rPr>
          <w:rFonts w:hint="eastAsia"/>
          <w:sz w:val="15"/>
          <w:szCs w:val="15"/>
          <w:lang w:val="en-US" w:eastAsia="zh-CN"/>
        </w:rPr>
        <w:t>冀A827XW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