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靳永亮</w:t>
      </w:r>
      <w:r>
        <w:rPr>
          <w:rFonts w:hint="eastAsia"/>
          <w:sz w:val="15"/>
          <w:szCs w:val="15"/>
          <w:highlight w:val="none"/>
        </w:rPr>
        <w:t>，</w:t>
      </w:r>
      <w:r>
        <w:rPr>
          <w:rFonts w:hint="eastAsia"/>
          <w:sz w:val="15"/>
          <w:szCs w:val="15"/>
          <w:highlight w:val="none"/>
          <w:lang w:val="en-US" w:eastAsia="zh-CN"/>
        </w:rPr>
        <w:t>130425198803157736</w:t>
      </w:r>
      <w:r>
        <w:rPr>
          <w:rFonts w:hint="eastAsia"/>
          <w:sz w:val="15"/>
          <w:szCs w:val="15"/>
        </w:rPr>
        <w:t xml:space="preserve">  </w:t>
      </w:r>
      <w:r>
        <w:rPr>
          <w:rFonts w:hint="eastAsia"/>
          <w:sz w:val="15"/>
          <w:szCs w:val="15"/>
          <w:lang w:val="en-US" w:eastAsia="zh-CN"/>
        </w:rPr>
        <w:t>冀DY6242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