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张伟</w:t>
      </w:r>
      <w:r>
        <w:rPr>
          <w:rFonts w:hint="eastAsia"/>
          <w:sz w:val="15"/>
          <w:szCs w:val="15"/>
          <w:highlight w:val="none"/>
        </w:rPr>
        <w:t>，</w:t>
      </w:r>
      <w:r>
        <w:rPr>
          <w:rFonts w:hint="eastAsia"/>
          <w:sz w:val="15"/>
          <w:szCs w:val="15"/>
          <w:highlight w:val="none"/>
          <w:lang w:val="en-US" w:eastAsia="zh-CN"/>
        </w:rPr>
        <w:t>210411198208101211</w:t>
      </w:r>
      <w:r>
        <w:rPr>
          <w:rFonts w:hint="eastAsia"/>
          <w:sz w:val="15"/>
          <w:szCs w:val="15"/>
        </w:rPr>
        <w:t xml:space="preserve">  </w:t>
      </w:r>
      <w:r>
        <w:rPr>
          <w:rFonts w:hint="eastAsia"/>
          <w:sz w:val="15"/>
          <w:szCs w:val="15"/>
          <w:lang w:val="en-US" w:eastAsia="zh-CN"/>
        </w:rPr>
        <w:t>冀J05781D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