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卜风燕</w:t>
      </w:r>
      <w:r>
        <w:rPr>
          <w:rFonts w:hint="eastAsia"/>
          <w:sz w:val="15"/>
          <w:szCs w:val="15"/>
          <w:highlight w:val="none"/>
        </w:rPr>
        <w:t>，</w:t>
      </w:r>
      <w:r>
        <w:rPr>
          <w:rFonts w:hint="eastAsia"/>
          <w:sz w:val="15"/>
          <w:szCs w:val="15"/>
          <w:highlight w:val="none"/>
          <w:lang w:val="en-US" w:eastAsia="zh-CN"/>
        </w:rPr>
        <w:t>130126198604051525</w:t>
      </w:r>
      <w:r>
        <w:rPr>
          <w:rFonts w:hint="eastAsia"/>
          <w:sz w:val="15"/>
          <w:szCs w:val="15"/>
        </w:rPr>
        <w:t xml:space="preserve">  </w:t>
      </w:r>
      <w:r>
        <w:rPr>
          <w:rFonts w:hint="eastAsia"/>
          <w:sz w:val="15"/>
          <w:szCs w:val="15"/>
          <w:lang w:val="en-US" w:eastAsia="zh-CN"/>
        </w:rPr>
        <w:t>冀AKX258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