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马利红</w:t>
      </w:r>
      <w:r>
        <w:rPr>
          <w:rFonts w:hint="eastAsia"/>
          <w:sz w:val="15"/>
          <w:szCs w:val="15"/>
          <w:highlight w:val="none"/>
        </w:rPr>
        <w:t>，</w:t>
      </w:r>
      <w:r>
        <w:rPr>
          <w:rFonts w:hint="eastAsia"/>
          <w:sz w:val="15"/>
          <w:szCs w:val="15"/>
          <w:highlight w:val="none"/>
          <w:lang w:val="en-US" w:eastAsia="zh-CN"/>
        </w:rPr>
        <w:t>130126198701070349</w:t>
      </w:r>
      <w:r>
        <w:rPr>
          <w:rFonts w:hint="eastAsia"/>
          <w:sz w:val="15"/>
          <w:szCs w:val="15"/>
        </w:rPr>
        <w:t xml:space="preserve">  </w:t>
      </w:r>
      <w:r>
        <w:rPr>
          <w:rFonts w:hint="eastAsia"/>
          <w:sz w:val="15"/>
          <w:szCs w:val="15"/>
          <w:lang w:val="en-US" w:eastAsia="zh-CN"/>
        </w:rPr>
        <w:t>沪A20577A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