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王增潮</w:t>
      </w:r>
      <w:r>
        <w:rPr>
          <w:rFonts w:hint="eastAsia"/>
          <w:sz w:val="15"/>
          <w:szCs w:val="15"/>
          <w:highlight w:val="none"/>
        </w:rPr>
        <w:t>，</w:t>
      </w:r>
      <w:r>
        <w:rPr>
          <w:rFonts w:hint="eastAsia"/>
          <w:sz w:val="15"/>
          <w:szCs w:val="15"/>
          <w:highlight w:val="none"/>
          <w:lang w:val="en-US" w:eastAsia="zh-CN"/>
        </w:rPr>
        <w:t>13233519811216117X</w:t>
      </w:r>
      <w:r>
        <w:rPr>
          <w:rFonts w:hint="eastAsia"/>
          <w:sz w:val="15"/>
          <w:szCs w:val="15"/>
        </w:rPr>
        <w:t xml:space="preserve">  </w:t>
      </w:r>
      <w:r>
        <w:rPr>
          <w:rFonts w:hint="eastAsia"/>
          <w:sz w:val="15"/>
          <w:szCs w:val="15"/>
          <w:lang w:val="en-US" w:eastAsia="zh-CN"/>
        </w:rPr>
        <w:t>沪A03660D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