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刘加岭</w:t>
      </w:r>
      <w:r>
        <w:rPr>
          <w:rFonts w:hint="eastAsia"/>
          <w:sz w:val="15"/>
          <w:szCs w:val="15"/>
          <w:highlight w:val="none"/>
        </w:rPr>
        <w:t>，</w:t>
      </w:r>
      <w:r>
        <w:rPr>
          <w:rFonts w:hint="eastAsia"/>
          <w:sz w:val="15"/>
          <w:szCs w:val="15"/>
          <w:highlight w:val="none"/>
          <w:lang w:val="en-US" w:eastAsia="zh-CN"/>
        </w:rPr>
        <w:t>133031196909105431</w:t>
      </w:r>
      <w:r>
        <w:rPr>
          <w:rFonts w:hint="eastAsia"/>
          <w:sz w:val="15"/>
          <w:szCs w:val="15"/>
        </w:rPr>
        <w:t xml:space="preserve">  </w:t>
      </w:r>
      <w:r>
        <w:rPr>
          <w:rFonts w:hint="eastAsia"/>
          <w:sz w:val="15"/>
          <w:szCs w:val="15"/>
          <w:lang w:val="en-US" w:eastAsia="zh-CN"/>
        </w:rPr>
        <w:t>冀J0X139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