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江振兴</w:t>
      </w:r>
      <w:r>
        <w:rPr>
          <w:rFonts w:hint="eastAsia"/>
          <w:sz w:val="15"/>
          <w:szCs w:val="15"/>
          <w:highlight w:val="none"/>
        </w:rPr>
        <w:t>，</w:t>
      </w:r>
      <w:r>
        <w:rPr>
          <w:rFonts w:hint="eastAsia"/>
          <w:sz w:val="15"/>
          <w:szCs w:val="15"/>
          <w:highlight w:val="none"/>
          <w:lang w:val="en-US" w:eastAsia="zh-CN"/>
        </w:rPr>
        <w:t>130981198704276017</w:t>
      </w:r>
      <w:r>
        <w:rPr>
          <w:rFonts w:hint="eastAsia"/>
          <w:sz w:val="15"/>
          <w:szCs w:val="15"/>
        </w:rPr>
        <w:t xml:space="preserve">  </w:t>
      </w:r>
      <w:r>
        <w:rPr>
          <w:rFonts w:hint="eastAsia"/>
          <w:sz w:val="15"/>
          <w:szCs w:val="15"/>
          <w:lang w:val="en-US" w:eastAsia="zh-CN"/>
        </w:rPr>
        <w:t>冀J0P698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