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张磊</w:t>
      </w:r>
      <w:r>
        <w:rPr>
          <w:rFonts w:hint="eastAsia"/>
          <w:sz w:val="15"/>
          <w:szCs w:val="15"/>
          <w:highlight w:val="none"/>
        </w:rPr>
        <w:t>，</w:t>
      </w:r>
      <w:r>
        <w:rPr>
          <w:rFonts w:hint="eastAsia"/>
          <w:sz w:val="15"/>
          <w:szCs w:val="15"/>
          <w:highlight w:val="none"/>
          <w:lang w:val="en-US" w:eastAsia="zh-CN"/>
        </w:rPr>
        <w:t>132322198111062530</w:t>
      </w:r>
      <w:r>
        <w:rPr>
          <w:rFonts w:hint="eastAsia"/>
          <w:sz w:val="15"/>
          <w:szCs w:val="15"/>
        </w:rPr>
        <w:t xml:space="preserve">  </w:t>
      </w:r>
      <w:r>
        <w:rPr>
          <w:rFonts w:hint="eastAsia"/>
          <w:sz w:val="15"/>
          <w:szCs w:val="15"/>
          <w:lang w:val="en-US" w:eastAsia="zh-CN"/>
        </w:rPr>
        <w:t>冀A49205D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