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左全乐</w:t>
      </w:r>
      <w:r>
        <w:rPr>
          <w:rFonts w:hint="eastAsia"/>
          <w:sz w:val="15"/>
          <w:szCs w:val="15"/>
          <w:highlight w:val="none"/>
        </w:rPr>
        <w:t>，</w:t>
      </w:r>
      <w:r>
        <w:rPr>
          <w:rFonts w:hint="eastAsia"/>
          <w:sz w:val="15"/>
          <w:szCs w:val="15"/>
          <w:highlight w:val="none"/>
          <w:lang w:val="en-US" w:eastAsia="zh-CN"/>
        </w:rPr>
        <w:t>131123198711020398</w:t>
      </w:r>
      <w:r>
        <w:rPr>
          <w:rFonts w:hint="eastAsia"/>
          <w:sz w:val="15"/>
          <w:szCs w:val="15"/>
        </w:rPr>
        <w:t xml:space="preserve">  </w:t>
      </w:r>
      <w:r>
        <w:rPr>
          <w:rFonts w:hint="eastAsia"/>
          <w:sz w:val="15"/>
          <w:szCs w:val="15"/>
          <w:lang w:val="en-US" w:eastAsia="zh-CN"/>
        </w:rPr>
        <w:t>冀J3U330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