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贾坤</w:t>
      </w:r>
      <w:r>
        <w:rPr>
          <w:rFonts w:hint="eastAsia"/>
          <w:sz w:val="15"/>
          <w:szCs w:val="15"/>
          <w:highlight w:val="none"/>
        </w:rPr>
        <w:t>，</w:t>
      </w:r>
      <w:r>
        <w:rPr>
          <w:rFonts w:hint="eastAsia"/>
          <w:sz w:val="15"/>
          <w:szCs w:val="15"/>
          <w:highlight w:val="none"/>
          <w:lang w:val="en-US" w:eastAsia="zh-CN"/>
        </w:rPr>
        <w:t>130125199906079513</w:t>
      </w:r>
      <w:r>
        <w:rPr>
          <w:rFonts w:hint="eastAsia"/>
          <w:sz w:val="15"/>
          <w:szCs w:val="15"/>
        </w:rPr>
        <w:t xml:space="preserve">  </w:t>
      </w:r>
      <w:r>
        <w:rPr>
          <w:rFonts w:hint="eastAsia"/>
          <w:sz w:val="15"/>
          <w:szCs w:val="15"/>
          <w:lang w:val="en-US" w:eastAsia="zh-CN"/>
        </w:rPr>
        <w:t>冀A99389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