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张红占</w:t>
      </w:r>
      <w:r>
        <w:rPr>
          <w:rFonts w:hint="eastAsia"/>
          <w:sz w:val="15"/>
          <w:szCs w:val="15"/>
          <w:highlight w:val="none"/>
        </w:rPr>
        <w:t>，</w:t>
      </w:r>
      <w:r>
        <w:rPr>
          <w:rFonts w:hint="eastAsia"/>
          <w:sz w:val="15"/>
          <w:szCs w:val="15"/>
          <w:highlight w:val="none"/>
          <w:lang w:val="en-US" w:eastAsia="zh-CN"/>
        </w:rPr>
        <w:t>131127198105252776</w:t>
      </w:r>
      <w:r>
        <w:rPr>
          <w:rFonts w:hint="eastAsia"/>
          <w:sz w:val="15"/>
          <w:szCs w:val="15"/>
        </w:rPr>
        <w:t xml:space="preserve">  </w:t>
      </w:r>
      <w:r>
        <w:rPr>
          <w:rFonts w:hint="eastAsia"/>
          <w:sz w:val="15"/>
          <w:szCs w:val="15"/>
          <w:lang w:val="en-US" w:eastAsia="zh-CN"/>
        </w:rPr>
        <w:t>冀J7U130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