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杜艳芳</w:t>
      </w:r>
      <w:r>
        <w:rPr>
          <w:rFonts w:hint="eastAsia"/>
          <w:sz w:val="15"/>
          <w:szCs w:val="15"/>
          <w:highlight w:val="none"/>
        </w:rPr>
        <w:t>，</w:t>
      </w:r>
      <w:r>
        <w:rPr>
          <w:rFonts w:hint="eastAsia"/>
          <w:sz w:val="15"/>
          <w:szCs w:val="15"/>
          <w:highlight w:val="none"/>
          <w:lang w:val="en-US" w:eastAsia="zh-CN"/>
        </w:rPr>
        <w:t>132325197612205020</w:t>
      </w:r>
      <w:r>
        <w:rPr>
          <w:rFonts w:hint="eastAsia"/>
          <w:sz w:val="15"/>
          <w:szCs w:val="15"/>
        </w:rPr>
        <w:t xml:space="preserve">  </w:t>
      </w:r>
      <w:r>
        <w:rPr>
          <w:rFonts w:hint="eastAsia"/>
          <w:sz w:val="15"/>
          <w:szCs w:val="15"/>
          <w:lang w:val="en-US" w:eastAsia="zh-CN"/>
        </w:rPr>
        <w:t>冀A865AS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