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李明</w:t>
      </w:r>
      <w:r>
        <w:rPr>
          <w:rFonts w:hint="eastAsia"/>
          <w:sz w:val="15"/>
          <w:szCs w:val="15"/>
          <w:highlight w:val="none"/>
        </w:rPr>
        <w:t>，</w:t>
      </w:r>
      <w:r>
        <w:rPr>
          <w:rFonts w:hint="eastAsia"/>
          <w:sz w:val="15"/>
          <w:szCs w:val="15"/>
          <w:highlight w:val="none"/>
          <w:lang w:val="en-US" w:eastAsia="zh-CN"/>
        </w:rPr>
        <w:t>130102198105052135</w:t>
      </w:r>
      <w:r>
        <w:rPr>
          <w:rFonts w:hint="eastAsia"/>
          <w:sz w:val="15"/>
          <w:szCs w:val="15"/>
        </w:rPr>
        <w:t xml:space="preserve">  </w:t>
      </w:r>
      <w:r>
        <w:rPr>
          <w:rFonts w:hint="eastAsia"/>
          <w:sz w:val="15"/>
          <w:szCs w:val="15"/>
          <w:lang w:val="en-US" w:eastAsia="zh-CN"/>
        </w:rPr>
        <w:t>冀A1891V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