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杨亚君</w:t>
      </w:r>
      <w:r>
        <w:rPr>
          <w:rFonts w:hint="eastAsia"/>
          <w:sz w:val="15"/>
          <w:szCs w:val="15"/>
          <w:highlight w:val="none"/>
        </w:rPr>
        <w:t>，</w:t>
      </w:r>
      <w:r>
        <w:rPr>
          <w:rFonts w:hint="eastAsia"/>
          <w:sz w:val="15"/>
          <w:szCs w:val="15"/>
          <w:highlight w:val="none"/>
          <w:lang w:val="en-US" w:eastAsia="zh-CN"/>
        </w:rPr>
        <w:t>130321198607100942</w:t>
      </w:r>
      <w:r>
        <w:rPr>
          <w:rFonts w:hint="eastAsia"/>
          <w:sz w:val="15"/>
          <w:szCs w:val="15"/>
        </w:rPr>
        <w:t xml:space="preserve">  </w:t>
      </w:r>
      <w:r>
        <w:rPr>
          <w:rFonts w:hint="eastAsia"/>
          <w:sz w:val="15"/>
          <w:szCs w:val="15"/>
          <w:lang w:val="en-US" w:eastAsia="zh-CN"/>
        </w:rPr>
        <w:t>冀B9547N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