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李耀宇</w:t>
      </w:r>
      <w:r>
        <w:rPr>
          <w:rFonts w:hint="eastAsia"/>
          <w:sz w:val="15"/>
          <w:szCs w:val="15"/>
          <w:highlight w:val="none"/>
        </w:rPr>
        <w:t>，</w:t>
      </w:r>
      <w:r>
        <w:rPr>
          <w:rFonts w:hint="eastAsia"/>
          <w:sz w:val="15"/>
          <w:szCs w:val="15"/>
          <w:highlight w:val="none"/>
          <w:lang w:val="en-US" w:eastAsia="zh-CN"/>
        </w:rPr>
        <w:t>130182200711232410</w:t>
      </w:r>
      <w:r>
        <w:rPr>
          <w:rFonts w:hint="eastAsia"/>
          <w:sz w:val="15"/>
          <w:szCs w:val="15"/>
        </w:rPr>
        <w:t xml:space="preserve">  </w:t>
      </w:r>
      <w:r>
        <w:rPr>
          <w:rFonts w:hint="eastAsia"/>
          <w:sz w:val="15"/>
          <w:szCs w:val="15"/>
          <w:lang w:val="en-US" w:eastAsia="zh-CN"/>
        </w:rPr>
        <w:t>冀A66849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