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3637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孔德貌</w:t>
      </w:r>
      <w:r>
        <w:rPr>
          <w:rFonts w:hint="eastAsia"/>
          <w:sz w:val="15"/>
          <w:szCs w:val="15"/>
          <w:highlight w:val="none"/>
        </w:rPr>
        <w:t>，</w:t>
      </w:r>
      <w:r>
        <w:rPr>
          <w:rFonts w:hint="eastAsia"/>
          <w:sz w:val="15"/>
          <w:szCs w:val="15"/>
          <w:highlight w:val="none"/>
          <w:lang w:val="en-US" w:eastAsia="zh-CN"/>
        </w:rPr>
        <w:t>130322198907071035</w:t>
      </w:r>
      <w:r>
        <w:rPr>
          <w:rFonts w:hint="eastAsia"/>
          <w:sz w:val="15"/>
          <w:szCs w:val="15"/>
        </w:rPr>
        <w:t xml:space="preserve">  </w:t>
      </w:r>
      <w:r>
        <w:rPr>
          <w:rFonts w:hint="eastAsia"/>
          <w:sz w:val="15"/>
          <w:szCs w:val="15"/>
          <w:lang w:val="en-US" w:eastAsia="zh-CN"/>
        </w:rPr>
        <w:t>冀B5766T</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