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杨家豪</w:t>
      </w:r>
      <w:r>
        <w:rPr>
          <w:rFonts w:hint="eastAsia"/>
          <w:sz w:val="15"/>
          <w:szCs w:val="15"/>
          <w:highlight w:val="none"/>
        </w:rPr>
        <w:t>，</w:t>
      </w:r>
      <w:r>
        <w:rPr>
          <w:rFonts w:hint="eastAsia"/>
          <w:sz w:val="15"/>
          <w:szCs w:val="15"/>
          <w:highlight w:val="none"/>
          <w:lang w:val="en-US" w:eastAsia="zh-CN"/>
        </w:rPr>
        <w:t>130182200712272414</w:t>
      </w:r>
      <w:r>
        <w:rPr>
          <w:rFonts w:hint="eastAsia"/>
          <w:sz w:val="15"/>
          <w:szCs w:val="15"/>
        </w:rPr>
        <w:t xml:space="preserve">  </w:t>
      </w:r>
      <w:r>
        <w:rPr>
          <w:rFonts w:hint="eastAsia"/>
          <w:sz w:val="15"/>
          <w:szCs w:val="15"/>
          <w:lang w:val="en-US" w:eastAsia="zh-CN"/>
        </w:rPr>
        <w:t>冀A1567V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