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张翠珍</w:t>
      </w:r>
      <w:r>
        <w:rPr>
          <w:rFonts w:hint="eastAsia"/>
          <w:sz w:val="15"/>
          <w:szCs w:val="15"/>
          <w:highlight w:val="none"/>
        </w:rPr>
        <w:t>，</w:t>
      </w:r>
      <w:r>
        <w:rPr>
          <w:rFonts w:hint="eastAsia"/>
          <w:sz w:val="15"/>
          <w:szCs w:val="15"/>
          <w:highlight w:val="none"/>
          <w:lang w:val="en-US" w:eastAsia="zh-CN"/>
        </w:rPr>
        <w:t>132302196410212047</w:t>
      </w:r>
      <w:r>
        <w:rPr>
          <w:rFonts w:hint="eastAsia"/>
          <w:sz w:val="15"/>
          <w:szCs w:val="15"/>
        </w:rPr>
        <w:t xml:space="preserve">  </w:t>
      </w:r>
      <w:r>
        <w:rPr>
          <w:rFonts w:hint="eastAsia"/>
          <w:sz w:val="15"/>
          <w:szCs w:val="15"/>
          <w:lang w:val="en-US" w:eastAsia="zh-CN"/>
        </w:rPr>
        <w:t>冀A199AR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