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段东建</w:t>
      </w:r>
      <w:r>
        <w:rPr>
          <w:rFonts w:hint="eastAsia"/>
          <w:sz w:val="15"/>
          <w:szCs w:val="15"/>
          <w:highlight w:val="none"/>
        </w:rPr>
        <w:t>，</w:t>
      </w:r>
      <w:r>
        <w:rPr>
          <w:rFonts w:hint="eastAsia"/>
          <w:sz w:val="15"/>
          <w:szCs w:val="15"/>
          <w:highlight w:val="none"/>
          <w:lang w:val="en-US" w:eastAsia="zh-CN"/>
        </w:rPr>
        <w:t>13052919890828533X</w:t>
      </w:r>
      <w:r>
        <w:rPr>
          <w:rFonts w:hint="eastAsia"/>
          <w:sz w:val="15"/>
          <w:szCs w:val="15"/>
        </w:rPr>
        <w:t xml:space="preserve">  </w:t>
      </w:r>
      <w:r>
        <w:rPr>
          <w:rFonts w:hint="eastAsia"/>
          <w:sz w:val="15"/>
          <w:szCs w:val="15"/>
          <w:lang w:val="en-US" w:eastAsia="zh-CN"/>
        </w:rPr>
        <w:t>冀EQ9107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