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郭笑妍</w:t>
      </w:r>
      <w:r>
        <w:rPr>
          <w:rFonts w:hint="eastAsia"/>
          <w:sz w:val="15"/>
          <w:szCs w:val="15"/>
          <w:highlight w:val="none"/>
        </w:rPr>
        <w:t>，</w:t>
      </w:r>
      <w:r>
        <w:rPr>
          <w:rFonts w:hint="eastAsia"/>
          <w:sz w:val="15"/>
          <w:szCs w:val="15"/>
          <w:highlight w:val="none"/>
          <w:lang w:val="en-US" w:eastAsia="zh-CN"/>
        </w:rPr>
        <w:t>13022720070813284X</w:t>
      </w:r>
      <w:r>
        <w:rPr>
          <w:rFonts w:hint="eastAsia"/>
          <w:sz w:val="15"/>
          <w:szCs w:val="15"/>
        </w:rPr>
        <w:t xml:space="preserve">  </w:t>
      </w:r>
      <w:r>
        <w:rPr>
          <w:rFonts w:hint="eastAsia"/>
          <w:sz w:val="15"/>
          <w:szCs w:val="15"/>
          <w:lang w:val="en-US" w:eastAsia="zh-CN"/>
        </w:rPr>
        <w:t>冀B6558J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