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李伟</w:t>
      </w:r>
      <w:r>
        <w:rPr>
          <w:rFonts w:hint="eastAsia"/>
          <w:sz w:val="15"/>
          <w:szCs w:val="15"/>
          <w:highlight w:val="none"/>
        </w:rPr>
        <w:t>，</w:t>
      </w:r>
      <w:r>
        <w:rPr>
          <w:rFonts w:hint="eastAsia"/>
          <w:sz w:val="15"/>
          <w:szCs w:val="15"/>
          <w:highlight w:val="none"/>
          <w:lang w:val="en-US" w:eastAsia="zh-CN"/>
        </w:rPr>
        <w:t>130283199101057375</w:t>
      </w:r>
      <w:r>
        <w:rPr>
          <w:rFonts w:hint="eastAsia"/>
          <w:sz w:val="15"/>
          <w:szCs w:val="15"/>
        </w:rPr>
        <w:t xml:space="preserve">  </w:t>
      </w:r>
      <w:r>
        <w:rPr>
          <w:rFonts w:hint="eastAsia"/>
          <w:sz w:val="15"/>
          <w:szCs w:val="15"/>
          <w:lang w:val="en-US" w:eastAsia="zh-CN"/>
        </w:rPr>
        <w:t>冀B4654S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