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王大朋</w:t>
      </w:r>
      <w:r>
        <w:rPr>
          <w:rFonts w:hint="eastAsia"/>
          <w:sz w:val="15"/>
          <w:szCs w:val="15"/>
          <w:highlight w:val="none"/>
        </w:rPr>
        <w:t>，</w:t>
      </w:r>
      <w:r>
        <w:rPr>
          <w:rFonts w:hint="eastAsia"/>
          <w:sz w:val="15"/>
          <w:szCs w:val="15"/>
          <w:highlight w:val="none"/>
          <w:lang w:val="en-US" w:eastAsia="zh-CN"/>
        </w:rPr>
        <w:t>13028319880729735X</w:t>
      </w:r>
      <w:r>
        <w:rPr>
          <w:rFonts w:hint="eastAsia"/>
          <w:sz w:val="15"/>
          <w:szCs w:val="15"/>
        </w:rPr>
        <w:t xml:space="preserve">  </w:t>
      </w:r>
      <w:r>
        <w:rPr>
          <w:rFonts w:hint="eastAsia"/>
          <w:sz w:val="15"/>
          <w:szCs w:val="15"/>
          <w:lang w:val="en-US" w:eastAsia="zh-CN"/>
        </w:rPr>
        <w:t>冀B5868R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