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王洋</w:t>
      </w:r>
      <w:r>
        <w:rPr>
          <w:rFonts w:hint="eastAsia"/>
          <w:sz w:val="15"/>
          <w:szCs w:val="15"/>
          <w:highlight w:val="none"/>
        </w:rPr>
        <w:t>，</w:t>
      </w:r>
      <w:r>
        <w:rPr>
          <w:rFonts w:hint="eastAsia"/>
          <w:sz w:val="15"/>
          <w:szCs w:val="15"/>
          <w:highlight w:val="none"/>
          <w:lang w:val="en-US" w:eastAsia="zh-CN"/>
        </w:rPr>
        <w:t>130283198801197358</w:t>
      </w:r>
      <w:r>
        <w:rPr>
          <w:rFonts w:hint="eastAsia"/>
          <w:sz w:val="15"/>
          <w:szCs w:val="15"/>
        </w:rPr>
        <w:t xml:space="preserve">  </w:t>
      </w:r>
      <w:r>
        <w:rPr>
          <w:rFonts w:hint="eastAsia"/>
          <w:sz w:val="15"/>
          <w:szCs w:val="15"/>
          <w:lang w:val="en-US" w:eastAsia="zh-CN"/>
        </w:rPr>
        <w:t>冀B6586Y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