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高新跃</w:t>
      </w:r>
      <w:r>
        <w:rPr>
          <w:rFonts w:hint="eastAsia"/>
          <w:sz w:val="15"/>
          <w:szCs w:val="15"/>
          <w:highlight w:val="none"/>
        </w:rPr>
        <w:t>，</w:t>
      </w:r>
      <w:r>
        <w:rPr>
          <w:rFonts w:hint="eastAsia"/>
          <w:sz w:val="15"/>
          <w:szCs w:val="15"/>
          <w:highlight w:val="none"/>
          <w:lang w:val="en-US" w:eastAsia="zh-CN"/>
        </w:rPr>
        <w:t>130227200507032615</w:t>
      </w:r>
      <w:r>
        <w:rPr>
          <w:rFonts w:hint="eastAsia"/>
          <w:sz w:val="15"/>
          <w:szCs w:val="15"/>
        </w:rPr>
        <w:t xml:space="preserve">  </w:t>
      </w:r>
      <w:r>
        <w:rPr>
          <w:rFonts w:hint="eastAsia"/>
          <w:sz w:val="15"/>
          <w:szCs w:val="15"/>
          <w:lang w:val="en-US" w:eastAsia="zh-CN"/>
        </w:rPr>
        <w:t>冀B6E726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