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王瑞旭</w:t>
      </w:r>
      <w:r>
        <w:rPr>
          <w:rFonts w:hint="eastAsia"/>
          <w:sz w:val="15"/>
          <w:szCs w:val="15"/>
          <w:highlight w:val="none"/>
        </w:rPr>
        <w:t>，</w:t>
      </w:r>
      <w:r>
        <w:rPr>
          <w:rFonts w:hint="eastAsia"/>
          <w:sz w:val="15"/>
          <w:szCs w:val="15"/>
          <w:highlight w:val="none"/>
          <w:lang w:val="en-US" w:eastAsia="zh-CN"/>
        </w:rPr>
        <w:t>13042120070611451X</w:t>
      </w:r>
      <w:r>
        <w:rPr>
          <w:rFonts w:hint="eastAsia"/>
          <w:sz w:val="15"/>
          <w:szCs w:val="15"/>
        </w:rPr>
        <w:t xml:space="preserve">  </w:t>
      </w:r>
      <w:r>
        <w:rPr>
          <w:rFonts w:hint="eastAsia"/>
          <w:sz w:val="15"/>
          <w:szCs w:val="15"/>
          <w:lang w:val="en-US" w:eastAsia="zh-CN"/>
        </w:rPr>
        <w:t>沪A97829D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