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张子强</w:t>
      </w:r>
      <w:r>
        <w:rPr>
          <w:rFonts w:hint="eastAsia"/>
          <w:sz w:val="15"/>
          <w:szCs w:val="15"/>
          <w:highlight w:val="none"/>
        </w:rPr>
        <w:t>，</w:t>
      </w:r>
      <w:r>
        <w:rPr>
          <w:rFonts w:hint="eastAsia"/>
          <w:sz w:val="15"/>
          <w:szCs w:val="15"/>
          <w:highlight w:val="none"/>
          <w:lang w:val="en-US" w:eastAsia="zh-CN"/>
        </w:rPr>
        <w:t>130131199301253619</w:t>
      </w:r>
      <w:r>
        <w:rPr>
          <w:rFonts w:hint="eastAsia"/>
          <w:sz w:val="15"/>
          <w:szCs w:val="15"/>
        </w:rPr>
        <w:t xml:space="preserve">  </w:t>
      </w:r>
      <w:r>
        <w:rPr>
          <w:rFonts w:hint="eastAsia"/>
          <w:sz w:val="15"/>
          <w:szCs w:val="15"/>
          <w:lang w:val="en-US" w:eastAsia="zh-CN"/>
        </w:rPr>
        <w:t>冀A33485D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