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檀二朝</w:t>
      </w:r>
      <w:r>
        <w:rPr>
          <w:rFonts w:hint="eastAsia"/>
          <w:sz w:val="15"/>
          <w:szCs w:val="15"/>
          <w:highlight w:val="none"/>
        </w:rPr>
        <w:t>，</w:t>
      </w:r>
      <w:r>
        <w:rPr>
          <w:rFonts w:hint="eastAsia"/>
          <w:sz w:val="15"/>
          <w:szCs w:val="15"/>
          <w:highlight w:val="none"/>
          <w:lang w:val="en-US" w:eastAsia="zh-CN"/>
        </w:rPr>
        <w:t>130131198811080039</w:t>
      </w:r>
      <w:r>
        <w:rPr>
          <w:rFonts w:hint="eastAsia"/>
          <w:sz w:val="15"/>
          <w:szCs w:val="15"/>
        </w:rPr>
        <w:t xml:space="preserve">  </w:t>
      </w:r>
      <w:r>
        <w:rPr>
          <w:rFonts w:hint="eastAsia"/>
          <w:sz w:val="15"/>
          <w:szCs w:val="15"/>
          <w:lang w:val="en-US" w:eastAsia="zh-CN"/>
        </w:rPr>
        <w:t>冀A08619D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