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w:t>
      </w:r>
      <w:r>
        <w:rPr>
          <w:rFonts w:hint="eastAsia"/>
          <w:sz w:val="15"/>
          <w:szCs w:val="15"/>
          <w:highlight w:val="none"/>
        </w:rPr>
        <w:t>，</w:t>
      </w:r>
      <w:r>
        <w:rPr>
          <w:rFonts w:hint="eastAsia"/>
          <w:sz w:val="15"/>
          <w:szCs w:val="15"/>
          <w:highlight w:val="none"/>
          <w:lang w:val="en-US" w:eastAsia="zh-CN"/>
        </w:rPr>
        <w:t>132336198010012639</w:t>
      </w:r>
      <w:r>
        <w:rPr>
          <w:rFonts w:hint="eastAsia"/>
          <w:sz w:val="15"/>
          <w:szCs w:val="15"/>
        </w:rPr>
        <w:t xml:space="preserve">  </w:t>
      </w:r>
      <w:r>
        <w:rPr>
          <w:rFonts w:hint="eastAsia"/>
          <w:sz w:val="15"/>
          <w:szCs w:val="15"/>
          <w:lang w:val="en-US" w:eastAsia="zh-CN"/>
        </w:rPr>
        <w:t>冀AP2166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