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王岗岗</w:t>
      </w:r>
      <w:r>
        <w:rPr>
          <w:rFonts w:hint="eastAsia"/>
          <w:sz w:val="15"/>
          <w:szCs w:val="15"/>
          <w:highlight w:val="none"/>
        </w:rPr>
        <w:t>，</w:t>
      </w:r>
      <w:r>
        <w:rPr>
          <w:rFonts w:hint="eastAsia"/>
          <w:sz w:val="15"/>
          <w:szCs w:val="15"/>
          <w:highlight w:val="none"/>
          <w:lang w:val="en-US" w:eastAsia="zh-CN"/>
        </w:rPr>
        <w:t>130122197405155911</w:t>
      </w:r>
      <w:r>
        <w:rPr>
          <w:rFonts w:hint="eastAsia"/>
          <w:sz w:val="15"/>
          <w:szCs w:val="15"/>
        </w:rPr>
        <w:t xml:space="preserve">  </w:t>
      </w:r>
      <w:r>
        <w:rPr>
          <w:rFonts w:hint="eastAsia"/>
          <w:sz w:val="15"/>
          <w:szCs w:val="15"/>
          <w:lang w:val="en-US" w:eastAsia="zh-CN"/>
        </w:rPr>
        <w:t>冀A08352D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