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霍彦杰</w:t>
      </w:r>
      <w:r>
        <w:rPr>
          <w:rFonts w:hint="eastAsia"/>
          <w:sz w:val="15"/>
          <w:szCs w:val="15"/>
          <w:highlight w:val="none"/>
        </w:rPr>
        <w:t>，</w:t>
      </w:r>
      <w:r>
        <w:rPr>
          <w:rFonts w:hint="eastAsia"/>
          <w:sz w:val="15"/>
          <w:szCs w:val="15"/>
          <w:highlight w:val="none"/>
          <w:lang w:val="en-US" w:eastAsia="zh-CN"/>
        </w:rPr>
        <w:t>132335198110140412</w:t>
      </w:r>
      <w:r>
        <w:rPr>
          <w:rFonts w:hint="eastAsia"/>
          <w:sz w:val="15"/>
          <w:szCs w:val="15"/>
        </w:rPr>
        <w:t xml:space="preserve">  </w:t>
      </w:r>
      <w:r>
        <w:rPr>
          <w:rFonts w:hint="eastAsia"/>
          <w:sz w:val="15"/>
          <w:szCs w:val="15"/>
          <w:lang w:val="en-US" w:eastAsia="zh-CN"/>
        </w:rPr>
        <w:t>冀A371AR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