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刘春香</w:t>
      </w:r>
      <w:r>
        <w:rPr>
          <w:rFonts w:hint="eastAsia"/>
          <w:sz w:val="15"/>
          <w:szCs w:val="15"/>
          <w:highlight w:val="none"/>
        </w:rPr>
        <w:t>，</w:t>
      </w:r>
      <w:r>
        <w:rPr>
          <w:rFonts w:hint="eastAsia"/>
          <w:sz w:val="15"/>
          <w:szCs w:val="15"/>
          <w:highlight w:val="none"/>
          <w:lang w:val="en-US" w:eastAsia="zh-CN"/>
        </w:rPr>
        <w:t>13012519920306012X</w:t>
      </w:r>
      <w:r>
        <w:rPr>
          <w:rFonts w:hint="eastAsia"/>
          <w:sz w:val="15"/>
          <w:szCs w:val="15"/>
        </w:rPr>
        <w:t xml:space="preserve">  </w:t>
      </w:r>
      <w:r>
        <w:rPr>
          <w:rFonts w:hint="eastAsia"/>
          <w:sz w:val="15"/>
          <w:szCs w:val="15"/>
          <w:lang w:val="en-US" w:eastAsia="zh-CN"/>
        </w:rPr>
        <w:t>冀A36786D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