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张永建</w:t>
      </w:r>
      <w:r>
        <w:rPr>
          <w:rFonts w:hint="eastAsia"/>
          <w:sz w:val="15"/>
          <w:szCs w:val="15"/>
          <w:highlight w:val="none"/>
        </w:rPr>
        <w:t>，</w:t>
      </w:r>
      <w:r>
        <w:rPr>
          <w:rFonts w:hint="eastAsia"/>
          <w:sz w:val="15"/>
          <w:szCs w:val="15"/>
          <w:highlight w:val="none"/>
          <w:lang w:val="en-US" w:eastAsia="zh-CN"/>
        </w:rPr>
        <w:t>132335198009040038</w:t>
      </w:r>
      <w:r>
        <w:rPr>
          <w:rFonts w:hint="eastAsia"/>
          <w:sz w:val="15"/>
          <w:szCs w:val="15"/>
        </w:rPr>
        <w:t xml:space="preserve">  </w:t>
      </w:r>
      <w:r>
        <w:rPr>
          <w:rFonts w:hint="eastAsia"/>
          <w:sz w:val="15"/>
          <w:szCs w:val="15"/>
          <w:lang w:val="en-US" w:eastAsia="zh-CN"/>
        </w:rPr>
        <w:t>冀A08693D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