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武振刚</w:t>
      </w:r>
      <w:r>
        <w:rPr>
          <w:rFonts w:hint="eastAsia"/>
          <w:sz w:val="15"/>
          <w:szCs w:val="15"/>
          <w:highlight w:val="none"/>
        </w:rPr>
        <w:t>，</w:t>
      </w:r>
      <w:r>
        <w:rPr>
          <w:rFonts w:hint="eastAsia"/>
          <w:sz w:val="15"/>
          <w:szCs w:val="15"/>
          <w:highlight w:val="none"/>
          <w:lang w:val="en-US" w:eastAsia="zh-CN"/>
        </w:rPr>
        <w:t>130131198804083952</w:t>
      </w:r>
      <w:r>
        <w:rPr>
          <w:rFonts w:hint="eastAsia"/>
          <w:sz w:val="15"/>
          <w:szCs w:val="15"/>
        </w:rPr>
        <w:t xml:space="preserve">  </w:t>
      </w:r>
      <w:r>
        <w:rPr>
          <w:rFonts w:hint="eastAsia"/>
          <w:sz w:val="15"/>
          <w:szCs w:val="15"/>
          <w:lang w:val="en-US" w:eastAsia="zh-CN"/>
        </w:rPr>
        <w:t>冀A09635D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