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赵建明</w:t>
      </w:r>
      <w:r>
        <w:rPr>
          <w:rFonts w:hint="eastAsia"/>
          <w:sz w:val="15"/>
          <w:szCs w:val="15"/>
          <w:highlight w:val="none"/>
        </w:rPr>
        <w:t>，</w:t>
      </w:r>
      <w:r>
        <w:rPr>
          <w:rFonts w:hint="eastAsia"/>
          <w:sz w:val="15"/>
          <w:szCs w:val="15"/>
          <w:highlight w:val="none"/>
          <w:lang w:val="en-US" w:eastAsia="zh-CN"/>
        </w:rPr>
        <w:t>132335197908120416</w:t>
      </w:r>
      <w:r>
        <w:rPr>
          <w:rFonts w:hint="eastAsia"/>
          <w:sz w:val="15"/>
          <w:szCs w:val="15"/>
        </w:rPr>
        <w:t xml:space="preserve">  </w:t>
      </w:r>
      <w:r>
        <w:rPr>
          <w:rFonts w:hint="eastAsia"/>
          <w:sz w:val="15"/>
          <w:szCs w:val="15"/>
          <w:lang w:val="en-US" w:eastAsia="zh-CN"/>
        </w:rPr>
        <w:t>冀A04824D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