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秦利梅</w:t>
      </w:r>
      <w:r>
        <w:rPr>
          <w:rFonts w:hint="eastAsia"/>
          <w:sz w:val="15"/>
          <w:szCs w:val="15"/>
          <w:highlight w:val="none"/>
        </w:rPr>
        <w:t>，</w:t>
      </w:r>
      <w:r>
        <w:rPr>
          <w:rFonts w:hint="eastAsia"/>
          <w:sz w:val="15"/>
          <w:szCs w:val="15"/>
          <w:highlight w:val="none"/>
          <w:lang w:val="en-US" w:eastAsia="zh-CN"/>
        </w:rPr>
        <w:t>130131198008043925</w:t>
      </w:r>
      <w:r>
        <w:rPr>
          <w:rFonts w:hint="eastAsia"/>
          <w:sz w:val="15"/>
          <w:szCs w:val="15"/>
        </w:rPr>
        <w:t xml:space="preserve">  </w:t>
      </w:r>
      <w:r>
        <w:rPr>
          <w:rFonts w:hint="eastAsia"/>
          <w:sz w:val="15"/>
          <w:szCs w:val="15"/>
          <w:lang w:val="en-US" w:eastAsia="zh-CN"/>
        </w:rPr>
        <w:t>冀A9133U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