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刘泽龙</w:t>
      </w:r>
      <w:r>
        <w:rPr>
          <w:rFonts w:hint="eastAsia"/>
          <w:sz w:val="15"/>
          <w:szCs w:val="15"/>
          <w:highlight w:val="none"/>
        </w:rPr>
        <w:t>，</w:t>
      </w:r>
      <w:r>
        <w:rPr>
          <w:rFonts w:hint="eastAsia"/>
          <w:sz w:val="15"/>
          <w:szCs w:val="15"/>
          <w:highlight w:val="none"/>
          <w:lang w:val="en-US" w:eastAsia="zh-CN"/>
        </w:rPr>
        <w:t>130131199309173912</w:t>
      </w:r>
      <w:r>
        <w:rPr>
          <w:rFonts w:hint="eastAsia"/>
          <w:sz w:val="15"/>
          <w:szCs w:val="15"/>
        </w:rPr>
        <w:t xml:space="preserve">  </w:t>
      </w:r>
      <w:r>
        <w:rPr>
          <w:rFonts w:hint="eastAsia"/>
          <w:sz w:val="15"/>
          <w:szCs w:val="15"/>
          <w:lang w:val="en-US" w:eastAsia="zh-CN"/>
        </w:rPr>
        <w:t>冀A09081D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