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韩志燕</w:t>
      </w:r>
      <w:r>
        <w:rPr>
          <w:rFonts w:hint="eastAsia"/>
          <w:sz w:val="15"/>
          <w:szCs w:val="15"/>
          <w:highlight w:val="none"/>
        </w:rPr>
        <w:t>，</w:t>
      </w:r>
      <w:r>
        <w:rPr>
          <w:rFonts w:hint="eastAsia"/>
          <w:sz w:val="15"/>
          <w:szCs w:val="15"/>
          <w:highlight w:val="none"/>
          <w:lang w:val="en-US" w:eastAsia="zh-CN"/>
        </w:rPr>
        <w:t>130131198502083025</w:t>
      </w:r>
      <w:r>
        <w:rPr>
          <w:rFonts w:hint="eastAsia"/>
          <w:sz w:val="15"/>
          <w:szCs w:val="15"/>
        </w:rPr>
        <w:t xml:space="preserve">  </w:t>
      </w:r>
      <w:r>
        <w:rPr>
          <w:rFonts w:hint="eastAsia"/>
          <w:sz w:val="15"/>
          <w:szCs w:val="15"/>
          <w:lang w:val="en-US" w:eastAsia="zh-CN"/>
        </w:rPr>
        <w:t>沪A09211A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