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刘立朝</w:t>
      </w:r>
      <w:r>
        <w:rPr>
          <w:rFonts w:hint="eastAsia"/>
          <w:sz w:val="15"/>
          <w:szCs w:val="15"/>
          <w:highlight w:val="none"/>
        </w:rPr>
        <w:t>，</w:t>
      </w:r>
      <w:r>
        <w:rPr>
          <w:rFonts w:hint="eastAsia"/>
          <w:sz w:val="15"/>
          <w:szCs w:val="15"/>
          <w:highlight w:val="none"/>
          <w:lang w:val="en-US" w:eastAsia="zh-CN"/>
        </w:rPr>
        <w:t>132335198102210011</w:t>
      </w:r>
      <w:r>
        <w:rPr>
          <w:rFonts w:hint="eastAsia"/>
          <w:sz w:val="15"/>
          <w:szCs w:val="15"/>
        </w:rPr>
        <w:t xml:space="preserve">  </w:t>
      </w:r>
      <w:r>
        <w:rPr>
          <w:rFonts w:hint="eastAsia"/>
          <w:sz w:val="15"/>
          <w:szCs w:val="15"/>
          <w:lang w:val="en-US" w:eastAsia="zh-CN"/>
        </w:rPr>
        <w:t>冀A38503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