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许二林</w:t>
      </w:r>
      <w:r>
        <w:rPr>
          <w:rFonts w:hint="eastAsia"/>
          <w:sz w:val="15"/>
          <w:szCs w:val="15"/>
          <w:highlight w:val="none"/>
        </w:rPr>
        <w:t>，</w:t>
      </w:r>
      <w:r>
        <w:rPr>
          <w:rFonts w:hint="eastAsia"/>
          <w:sz w:val="15"/>
          <w:szCs w:val="15"/>
          <w:highlight w:val="none"/>
          <w:lang w:val="en-US" w:eastAsia="zh-CN"/>
        </w:rPr>
        <w:t>132335197902190712</w:t>
      </w:r>
      <w:r>
        <w:rPr>
          <w:rFonts w:hint="eastAsia"/>
          <w:sz w:val="15"/>
          <w:szCs w:val="15"/>
        </w:rPr>
        <w:t xml:space="preserve">  </w:t>
      </w:r>
      <w:r>
        <w:rPr>
          <w:rFonts w:hint="eastAsia"/>
          <w:sz w:val="15"/>
          <w:szCs w:val="15"/>
          <w:lang w:val="en-US" w:eastAsia="zh-CN"/>
        </w:rPr>
        <w:t>冀AKP727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