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w:t>
      </w:r>
      <w:r>
        <w:rPr>
          <w:rFonts w:hint="eastAsia"/>
          <w:sz w:val="15"/>
          <w:szCs w:val="15"/>
          <w:highlight w:val="none"/>
        </w:rPr>
        <w:t>，</w:t>
      </w:r>
      <w:r>
        <w:rPr>
          <w:rFonts w:hint="eastAsia"/>
          <w:sz w:val="15"/>
          <w:szCs w:val="15"/>
          <w:highlight w:val="none"/>
          <w:lang w:val="en-US" w:eastAsia="zh-CN"/>
        </w:rPr>
        <w:t>13092119800822361X</w:t>
      </w:r>
      <w:r>
        <w:rPr>
          <w:rFonts w:hint="eastAsia"/>
          <w:sz w:val="15"/>
          <w:szCs w:val="15"/>
        </w:rPr>
        <w:t xml:space="preserve">  </w:t>
      </w:r>
      <w:r>
        <w:rPr>
          <w:rFonts w:hint="eastAsia"/>
          <w:sz w:val="15"/>
          <w:szCs w:val="15"/>
          <w:lang w:val="en-US" w:eastAsia="zh-CN"/>
        </w:rPr>
        <w:t>冀J6Q760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