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李艳鑫</w:t>
      </w:r>
      <w:r>
        <w:rPr>
          <w:rFonts w:hint="eastAsia"/>
          <w:sz w:val="15"/>
          <w:szCs w:val="15"/>
          <w:highlight w:val="none"/>
        </w:rPr>
        <w:t>，</w:t>
      </w:r>
      <w:r>
        <w:rPr>
          <w:rFonts w:hint="eastAsia"/>
          <w:sz w:val="15"/>
          <w:szCs w:val="15"/>
          <w:highlight w:val="none"/>
          <w:lang w:val="en-US" w:eastAsia="zh-CN"/>
        </w:rPr>
        <w:t>140121200106223611</w:t>
      </w:r>
      <w:r>
        <w:rPr>
          <w:rFonts w:hint="eastAsia"/>
          <w:sz w:val="15"/>
          <w:szCs w:val="15"/>
        </w:rPr>
        <w:t xml:space="preserve">  </w:t>
      </w:r>
      <w:r>
        <w:rPr>
          <w:rFonts w:hint="eastAsia"/>
          <w:sz w:val="15"/>
          <w:szCs w:val="15"/>
          <w:lang w:val="en-US" w:eastAsia="zh-CN"/>
        </w:rPr>
        <w:t>晋KU3707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