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郭晓军</w:t>
      </w:r>
      <w:r>
        <w:rPr>
          <w:rFonts w:hint="eastAsia"/>
          <w:sz w:val="15"/>
          <w:szCs w:val="15"/>
          <w:highlight w:val="none"/>
        </w:rPr>
        <w:t>，</w:t>
      </w:r>
      <w:r>
        <w:rPr>
          <w:rFonts w:hint="eastAsia"/>
          <w:sz w:val="15"/>
          <w:szCs w:val="15"/>
          <w:highlight w:val="none"/>
          <w:lang w:val="en-US" w:eastAsia="zh-CN"/>
        </w:rPr>
        <w:t>140121198710262510</w:t>
      </w:r>
      <w:r>
        <w:rPr>
          <w:rFonts w:hint="eastAsia"/>
          <w:sz w:val="15"/>
          <w:szCs w:val="15"/>
        </w:rPr>
        <w:t xml:space="preserve">  </w:t>
      </w:r>
      <w:r>
        <w:rPr>
          <w:rFonts w:hint="eastAsia"/>
          <w:sz w:val="15"/>
          <w:szCs w:val="15"/>
          <w:lang w:val="en-US" w:eastAsia="zh-CN"/>
        </w:rPr>
        <w:t>晋KF6153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