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周延敏</w:t>
      </w:r>
      <w:r>
        <w:rPr>
          <w:rFonts w:hint="eastAsia"/>
          <w:sz w:val="15"/>
          <w:szCs w:val="15"/>
          <w:highlight w:val="none"/>
        </w:rPr>
        <w:t>，</w:t>
      </w:r>
      <w:r>
        <w:rPr>
          <w:rFonts w:hint="eastAsia"/>
          <w:sz w:val="15"/>
          <w:szCs w:val="15"/>
          <w:highlight w:val="none"/>
          <w:lang w:val="en-US" w:eastAsia="zh-CN"/>
        </w:rPr>
        <w:t>130921198112150043</w:t>
      </w:r>
      <w:r>
        <w:rPr>
          <w:rFonts w:hint="eastAsia"/>
          <w:sz w:val="15"/>
          <w:szCs w:val="15"/>
        </w:rPr>
        <w:t xml:space="preserve">  </w:t>
      </w:r>
      <w:r>
        <w:rPr>
          <w:rFonts w:hint="eastAsia"/>
          <w:sz w:val="15"/>
          <w:szCs w:val="15"/>
          <w:lang w:val="en-US" w:eastAsia="zh-CN"/>
        </w:rPr>
        <w:t>冀J1A118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