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马宝艳</w:t>
      </w:r>
      <w:r>
        <w:rPr>
          <w:rFonts w:hint="eastAsia"/>
          <w:sz w:val="15"/>
          <w:szCs w:val="15"/>
          <w:highlight w:val="none"/>
        </w:rPr>
        <w:t>，</w:t>
      </w:r>
      <w:r>
        <w:rPr>
          <w:rFonts w:hint="eastAsia"/>
          <w:sz w:val="15"/>
          <w:szCs w:val="15"/>
          <w:highlight w:val="none"/>
          <w:lang w:val="en-US" w:eastAsia="zh-CN"/>
        </w:rPr>
        <w:t>130922198305294429</w:t>
      </w:r>
      <w:r>
        <w:rPr>
          <w:rFonts w:hint="eastAsia"/>
          <w:sz w:val="15"/>
          <w:szCs w:val="15"/>
        </w:rPr>
        <w:t xml:space="preserve">  </w:t>
      </w:r>
      <w:r>
        <w:rPr>
          <w:rFonts w:hint="eastAsia"/>
          <w:sz w:val="15"/>
          <w:szCs w:val="15"/>
          <w:lang w:val="en-US" w:eastAsia="zh-CN"/>
        </w:rPr>
        <w:t>冀J1S889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