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潘晓艳</w:t>
      </w:r>
      <w:r>
        <w:rPr>
          <w:rFonts w:hint="eastAsia"/>
          <w:sz w:val="15"/>
          <w:szCs w:val="15"/>
          <w:highlight w:val="none"/>
        </w:rPr>
        <w:t>，</w:t>
      </w:r>
      <w:r>
        <w:rPr>
          <w:rFonts w:hint="eastAsia"/>
          <w:sz w:val="15"/>
          <w:szCs w:val="15"/>
          <w:highlight w:val="none"/>
          <w:lang w:val="en-US" w:eastAsia="zh-CN"/>
        </w:rPr>
        <w:t>142430198502241621</w:t>
      </w:r>
      <w:r>
        <w:rPr>
          <w:rFonts w:hint="eastAsia"/>
          <w:sz w:val="15"/>
          <w:szCs w:val="15"/>
        </w:rPr>
        <w:t xml:space="preserve">  </w:t>
      </w:r>
      <w:r>
        <w:rPr>
          <w:rFonts w:hint="eastAsia"/>
          <w:sz w:val="15"/>
          <w:szCs w:val="15"/>
          <w:lang w:val="en-US" w:eastAsia="zh-CN"/>
        </w:rPr>
        <w:t>晋KC9491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