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张籽晗</w:t>
      </w:r>
      <w:r>
        <w:rPr>
          <w:rFonts w:hint="eastAsia"/>
          <w:sz w:val="15"/>
          <w:szCs w:val="15"/>
          <w:highlight w:val="none"/>
        </w:rPr>
        <w:t>，</w:t>
      </w:r>
      <w:r>
        <w:rPr>
          <w:rFonts w:hint="eastAsia"/>
          <w:sz w:val="15"/>
          <w:szCs w:val="15"/>
          <w:highlight w:val="none"/>
          <w:lang w:val="en-US" w:eastAsia="zh-CN"/>
        </w:rPr>
        <w:t>130182200502190541</w:t>
      </w:r>
      <w:r>
        <w:rPr>
          <w:rFonts w:hint="eastAsia"/>
          <w:sz w:val="15"/>
          <w:szCs w:val="15"/>
        </w:rPr>
        <w:t xml:space="preserve">  </w:t>
      </w:r>
      <w:r>
        <w:rPr>
          <w:rFonts w:hint="eastAsia"/>
          <w:sz w:val="15"/>
          <w:szCs w:val="15"/>
          <w:lang w:val="en-US" w:eastAsia="zh-CN"/>
        </w:rPr>
        <w:t>冀A728HV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